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g6xd2hjgq12i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O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[O]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Scouting 30 seconds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Driehoek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Groen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Opdrachtkaartjes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Stopwatch/Timer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‘o’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ind w:left="0" w:firstLine="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30 seconds maar dan met scouting termen.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kiest wie er woorden moet beschrijven.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gekozen persoon krijgt een kaartje met 5 scouting gerelateerde termen, deze moeten beschreven worden.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Heeft de ploeg er ten minste 3 goed, dan is de opdracht succesvol uitgevoerd. 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Zet een stempel in het boekje van de ploeg.</w:t>
            </w:r>
          </w:p>
          <w:p w:rsidR="00000000" w:rsidDel="00000000" w:rsidP="00000000" w:rsidRDefault="00000000" w:rsidRPr="00000000" w14:paraId="0000001F">
            <w:p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Regels voor het beschrijven van woorden: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Niet aanwijzen 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i w:val="1"/>
                <w:rtl w:val="0"/>
              </w:rPr>
              <w:t xml:space="preserve">bijvoorbeeld: op je dasring wijzen.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Je mag niet naar letters verwijzen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i w:val="1"/>
                <w:rtl w:val="0"/>
              </w:rPr>
              <w:t xml:space="preserve">bijvoorbeeld: de volgende letters zitten in het woord ‘d, a, s, r, i, n, g’ .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Je mag niet zeggen ‘het rijmt op’  of ‘het klinkt als’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i w:val="1"/>
                <w:rtl w:val="0"/>
              </w:rPr>
              <w:t xml:space="preserve">bijvoorbeeld: het begin ruimt op jas en het einde rijmt op ‘ding’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Je mag geen delen van het woord op het kaartje gebruiken.</w:t>
              <w:br w:type="textWrapping"/>
            </w:r>
            <w:r w:rsidDel="00000000" w:rsidR="00000000" w:rsidRPr="00000000">
              <w:rPr>
                <w:rFonts w:ascii="Nunito" w:cs="Nunito" w:eastAsia="Nunito" w:hAnsi="Nunito"/>
                <w:i w:val="1"/>
                <w:rtl w:val="0"/>
              </w:rPr>
              <w:t xml:space="preserve">bijvoorbeeld: het zit aan je das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Let enigszins op de regels, snelheid is meer van belang.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